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2CDA1" w14:textId="3594D440" w:rsidR="005B62EE" w:rsidRPr="00D82AE9" w:rsidRDefault="005B62EE" w:rsidP="005B62EE">
      <w:pPr>
        <w:jc w:val="center"/>
        <w:rPr>
          <w:b/>
        </w:rPr>
      </w:pPr>
      <w:r>
        <w:rPr>
          <w:b/>
        </w:rPr>
        <w:t xml:space="preserve">Pay increase on </w:t>
      </w:r>
      <w:r w:rsidRPr="006A1115">
        <w:rPr>
          <w:b/>
          <w:color w:val="0D0D0D" w:themeColor="text1" w:themeTint="F2"/>
        </w:rPr>
        <w:t xml:space="preserve">way for over </w:t>
      </w:r>
      <w:r w:rsidR="00A44380" w:rsidRPr="006A1115">
        <w:rPr>
          <w:b/>
          <w:color w:val="0D0D0D" w:themeColor="text1" w:themeTint="F2"/>
        </w:rPr>
        <w:t>700</w:t>
      </w:r>
      <w:r w:rsidRPr="006A1115">
        <w:rPr>
          <w:b/>
          <w:color w:val="0D0D0D" w:themeColor="text1" w:themeTint="F2"/>
        </w:rPr>
        <w:t xml:space="preserve"> </w:t>
      </w:r>
      <w:r>
        <w:rPr>
          <w:b/>
        </w:rPr>
        <w:t>Lidl e</w:t>
      </w:r>
      <w:r w:rsidRPr="007011D5">
        <w:rPr>
          <w:b/>
        </w:rPr>
        <w:t xml:space="preserve">mployees </w:t>
      </w:r>
    </w:p>
    <w:p w14:paraId="0B73478D" w14:textId="77777777" w:rsidR="00677400" w:rsidRPr="00D82AE9" w:rsidRDefault="005C67F6" w:rsidP="004E2A94">
      <w:pPr>
        <w:jc w:val="center"/>
        <w:rPr>
          <w:b/>
        </w:rPr>
      </w:pPr>
      <w:r w:rsidRPr="00D82AE9">
        <w:rPr>
          <w:b/>
        </w:rPr>
        <w:t xml:space="preserve">Lidl </w:t>
      </w:r>
      <w:r w:rsidR="00AF7373" w:rsidRPr="00D82AE9">
        <w:rPr>
          <w:b/>
        </w:rPr>
        <w:t>extends commitment to pay</w:t>
      </w:r>
      <w:r w:rsidR="00586397" w:rsidRPr="00D82AE9">
        <w:rPr>
          <w:b/>
        </w:rPr>
        <w:t xml:space="preserve"> the</w:t>
      </w:r>
      <w:r w:rsidR="00AD0800" w:rsidRPr="00D82AE9">
        <w:rPr>
          <w:b/>
        </w:rPr>
        <w:t xml:space="preserve"> latest</w:t>
      </w:r>
      <w:r w:rsidR="00677400" w:rsidRPr="00D82AE9">
        <w:rPr>
          <w:b/>
        </w:rPr>
        <w:t xml:space="preserve"> ‘Living Wage’</w:t>
      </w:r>
    </w:p>
    <w:p w14:paraId="608CA8C3" w14:textId="6235A5F7" w:rsidR="00563530" w:rsidRDefault="009E00B1" w:rsidP="009E00B1">
      <w:pPr>
        <w:jc w:val="center"/>
        <w:rPr>
          <w:b/>
          <w:color w:val="FF0000"/>
        </w:rPr>
      </w:pPr>
      <w:r w:rsidRPr="00D82AE9">
        <w:rPr>
          <w:b/>
        </w:rPr>
        <w:t>First s</w:t>
      </w:r>
      <w:r w:rsidR="00C06434" w:rsidRPr="00D82AE9">
        <w:rPr>
          <w:b/>
        </w:rPr>
        <w:t>upermarket</w:t>
      </w:r>
      <w:r w:rsidRPr="00D82AE9">
        <w:rPr>
          <w:b/>
        </w:rPr>
        <w:t xml:space="preserve"> </w:t>
      </w:r>
      <w:r w:rsidR="00CA3A49" w:rsidRPr="00D82AE9">
        <w:rPr>
          <w:b/>
        </w:rPr>
        <w:t xml:space="preserve">in Ireland </w:t>
      </w:r>
      <w:r w:rsidRPr="00D82AE9">
        <w:rPr>
          <w:b/>
        </w:rPr>
        <w:t>to announce €1</w:t>
      </w:r>
      <w:r w:rsidR="00E54FE1" w:rsidRPr="00D82AE9">
        <w:rPr>
          <w:b/>
        </w:rPr>
        <w:t xml:space="preserve">1.90 minimum hourly rate </w:t>
      </w:r>
    </w:p>
    <w:p w14:paraId="754F4836" w14:textId="10C03E00" w:rsidR="00CA3A49" w:rsidRPr="006A1115" w:rsidRDefault="00677400" w:rsidP="00CA3A49">
      <w:pPr>
        <w:pStyle w:val="ListParagraph"/>
        <w:ind w:left="0"/>
        <w:jc w:val="both"/>
        <w:rPr>
          <w:rFonts w:cstheme="minorHAnsi"/>
        </w:rPr>
      </w:pPr>
      <w:r w:rsidRPr="00D82AE9">
        <w:rPr>
          <w:b/>
        </w:rPr>
        <w:t xml:space="preserve">Dublin, </w:t>
      </w:r>
      <w:r w:rsidR="00AF7373" w:rsidRPr="00282179">
        <w:rPr>
          <w:rFonts w:cstheme="minorHAnsi"/>
        </w:rPr>
        <w:t>Mon</w:t>
      </w:r>
      <w:r w:rsidRPr="00282179">
        <w:rPr>
          <w:rFonts w:cstheme="minorHAnsi"/>
        </w:rPr>
        <w:t xml:space="preserve">day, </w:t>
      </w:r>
      <w:r w:rsidR="00AF7373" w:rsidRPr="00282179">
        <w:rPr>
          <w:rFonts w:cstheme="minorHAnsi"/>
        </w:rPr>
        <w:t>5</w:t>
      </w:r>
      <w:r w:rsidRPr="00282179">
        <w:rPr>
          <w:rFonts w:cstheme="minorHAnsi"/>
        </w:rPr>
        <w:t xml:space="preserve">th </w:t>
      </w:r>
      <w:r w:rsidR="00AF7373" w:rsidRPr="00282179">
        <w:rPr>
          <w:rFonts w:cstheme="minorHAnsi"/>
        </w:rPr>
        <w:t>Novem</w:t>
      </w:r>
      <w:r w:rsidRPr="00282179">
        <w:rPr>
          <w:rFonts w:cstheme="minorHAnsi"/>
        </w:rPr>
        <w:t>ber, 201</w:t>
      </w:r>
      <w:r w:rsidR="004C1505" w:rsidRPr="00282179">
        <w:rPr>
          <w:rFonts w:cstheme="minorHAnsi"/>
        </w:rPr>
        <w:t>8:</w:t>
      </w:r>
      <w:r w:rsidRPr="00282179">
        <w:rPr>
          <w:rFonts w:cstheme="minorHAnsi"/>
        </w:rPr>
        <w:t xml:space="preserve"> </w:t>
      </w:r>
      <w:r w:rsidR="00CA3A49" w:rsidRPr="00D82AE9">
        <w:rPr>
          <w:rFonts w:cstheme="minorHAnsi"/>
        </w:rPr>
        <w:t xml:space="preserve">Lidl, the first major nationwide employer to commit to paying the Living Wage in 2015, has made a further commitment to match the latest revised rate </w:t>
      </w:r>
      <w:r w:rsidR="00CA3A49" w:rsidRPr="00AD4382">
        <w:rPr>
          <w:rFonts w:cstheme="minorHAnsi"/>
        </w:rPr>
        <w:t>recommended</w:t>
      </w:r>
      <w:bookmarkStart w:id="0" w:name="_GoBack"/>
      <w:bookmarkEnd w:id="0"/>
      <w:r w:rsidR="00CA3A49" w:rsidRPr="00AD4382">
        <w:rPr>
          <w:rFonts w:cstheme="minorHAnsi"/>
        </w:rPr>
        <w:t xml:space="preserve"> by the Living Wage Technical Group effective from 1</w:t>
      </w:r>
      <w:r w:rsidR="00CA3A49" w:rsidRPr="00AD4382">
        <w:rPr>
          <w:rFonts w:cstheme="minorHAnsi"/>
          <w:vertAlign w:val="superscript"/>
        </w:rPr>
        <w:t>st</w:t>
      </w:r>
      <w:r w:rsidR="00CA3A49" w:rsidRPr="00AD4382">
        <w:rPr>
          <w:rFonts w:cstheme="minorHAnsi"/>
        </w:rPr>
        <w:t xml:space="preserve"> March 2019. The change will benefit </w:t>
      </w:r>
      <w:r w:rsidR="006A1115">
        <w:rPr>
          <w:rFonts w:cstheme="minorHAnsi"/>
        </w:rPr>
        <w:t>16%</w:t>
      </w:r>
      <w:r w:rsidR="005733AF">
        <w:rPr>
          <w:rFonts w:cstheme="minorHAnsi"/>
        </w:rPr>
        <w:t xml:space="preserve"> of</w:t>
      </w:r>
      <w:r w:rsidR="0045518C" w:rsidRPr="00AD4382">
        <w:rPr>
          <w:rFonts w:cstheme="minorHAnsi"/>
        </w:rPr>
        <w:t xml:space="preserve"> employees</w:t>
      </w:r>
      <w:r w:rsidR="005B62EE" w:rsidRPr="00AD4382">
        <w:rPr>
          <w:rFonts w:cstheme="minorHAnsi"/>
        </w:rPr>
        <w:t>,</w:t>
      </w:r>
      <w:r w:rsidR="007011D5" w:rsidRPr="00AD4382">
        <w:rPr>
          <w:rFonts w:cstheme="minorHAnsi"/>
        </w:rPr>
        <w:t xml:space="preserve"> </w:t>
      </w:r>
      <w:r w:rsidR="00AD4382" w:rsidRPr="00AD4382">
        <w:rPr>
          <w:rFonts w:cstheme="minorHAnsi"/>
        </w:rPr>
        <w:t>while</w:t>
      </w:r>
      <w:r w:rsidR="005B62EE" w:rsidRPr="00AD4382">
        <w:rPr>
          <w:rFonts w:cstheme="minorHAnsi"/>
        </w:rPr>
        <w:t xml:space="preserve"> </w:t>
      </w:r>
      <w:r w:rsidR="00CA3A49" w:rsidRPr="00AD4382">
        <w:rPr>
          <w:rFonts w:cstheme="minorHAnsi"/>
        </w:rPr>
        <w:t xml:space="preserve">all other </w:t>
      </w:r>
      <w:r w:rsidR="002E44B8" w:rsidRPr="00AD4382">
        <w:rPr>
          <w:rFonts w:cstheme="minorHAnsi"/>
        </w:rPr>
        <w:t>employees</w:t>
      </w:r>
      <w:r w:rsidR="00CA3A49" w:rsidRPr="00AD4382">
        <w:rPr>
          <w:rFonts w:cstheme="minorHAnsi"/>
        </w:rPr>
        <w:t xml:space="preserve"> working in Lidl already earn in excess of the Living Wage.</w:t>
      </w:r>
      <w:r w:rsidR="00CA3A49" w:rsidRPr="006A1115">
        <w:rPr>
          <w:rFonts w:cstheme="minorHAnsi"/>
        </w:rPr>
        <w:t xml:space="preserve"> </w:t>
      </w:r>
    </w:p>
    <w:p w14:paraId="3AFA2430" w14:textId="3E6ACFCD" w:rsidR="00F62688" w:rsidRPr="00D82AE9" w:rsidRDefault="00EE37BD" w:rsidP="0017026D">
      <w:pPr>
        <w:jc w:val="both"/>
      </w:pPr>
      <w:r>
        <w:t>This</w:t>
      </w:r>
      <w:r w:rsidR="0031255D">
        <w:t xml:space="preserve"> pro</w:t>
      </w:r>
      <w:r w:rsidR="00E114CD" w:rsidRPr="00E114CD">
        <w:t xml:space="preserve">active step continues </w:t>
      </w:r>
      <w:r w:rsidR="00327D0F" w:rsidRPr="00327D0F">
        <w:t>Lidl</w:t>
      </w:r>
      <w:r w:rsidR="00327D0F">
        <w:t xml:space="preserve">’s </w:t>
      </w:r>
      <w:r w:rsidR="00E114CD" w:rsidRPr="00E114CD">
        <w:t xml:space="preserve">exemplary track record as a pioneering, best-practice employer </w:t>
      </w:r>
      <w:r w:rsidR="009600E1" w:rsidRPr="00E114CD">
        <w:t>and</w:t>
      </w:r>
      <w:r w:rsidR="00677400" w:rsidRPr="00D82AE9">
        <w:t xml:space="preserve"> </w:t>
      </w:r>
      <w:r w:rsidR="003F2C12" w:rsidRPr="00D82AE9">
        <w:t xml:space="preserve">is </w:t>
      </w:r>
      <w:r w:rsidR="009E3C42" w:rsidRPr="00D82AE9">
        <w:t xml:space="preserve">just one of many benefits </w:t>
      </w:r>
      <w:r w:rsidR="003F2C12" w:rsidRPr="00D82AE9">
        <w:t>Lidl has introduced</w:t>
      </w:r>
      <w:r w:rsidR="004A2101" w:rsidRPr="00D82AE9">
        <w:t xml:space="preserve"> </w:t>
      </w:r>
      <w:r w:rsidR="003F2C12" w:rsidRPr="00D82AE9">
        <w:t xml:space="preserve">in recent years </w:t>
      </w:r>
      <w:r w:rsidR="004A2101" w:rsidRPr="00D82AE9">
        <w:t xml:space="preserve">to </w:t>
      </w:r>
      <w:r w:rsidR="009E3C42" w:rsidRPr="00D82AE9">
        <w:t xml:space="preserve">create </w:t>
      </w:r>
      <w:r w:rsidR="00677400" w:rsidRPr="00D82AE9">
        <w:t>a better workplace for all</w:t>
      </w:r>
      <w:r w:rsidR="009E3C42" w:rsidRPr="00D82AE9">
        <w:t xml:space="preserve"> </w:t>
      </w:r>
      <w:r w:rsidR="00017DCA" w:rsidRPr="00D82AE9">
        <w:t>4</w:t>
      </w:r>
      <w:r w:rsidR="00AC5ECA" w:rsidRPr="00D82AE9">
        <w:t>,</w:t>
      </w:r>
      <w:r w:rsidR="00017DCA" w:rsidRPr="00D82AE9">
        <w:t xml:space="preserve">300 </w:t>
      </w:r>
      <w:r w:rsidR="00727FB3" w:rsidRPr="00D82AE9">
        <w:t>employees</w:t>
      </w:r>
      <w:r w:rsidR="00015B17" w:rsidRPr="00D82AE9">
        <w:t xml:space="preserve">. </w:t>
      </w:r>
      <w:r w:rsidR="008D042D" w:rsidRPr="00D82AE9">
        <w:t>Current benefits enjoyed include</w:t>
      </w:r>
      <w:r w:rsidR="00AC5ECA" w:rsidRPr="00D82AE9">
        <w:t>:</w:t>
      </w:r>
      <w:r w:rsidR="008D042D" w:rsidRPr="00D82AE9">
        <w:t xml:space="preserve"> </w:t>
      </w:r>
      <w:r w:rsidR="008D2464" w:rsidRPr="00D82AE9">
        <w:t>Employee Assistance Programme</w:t>
      </w:r>
      <w:r w:rsidR="003800EF" w:rsidRPr="00D82AE9">
        <w:t>;</w:t>
      </w:r>
      <w:r w:rsidR="008D2464" w:rsidRPr="00D82AE9">
        <w:t xml:space="preserve"> </w:t>
      </w:r>
      <w:r w:rsidR="00D27C73" w:rsidRPr="00D82AE9">
        <w:t>paid maternity and paternity leave</w:t>
      </w:r>
      <w:r w:rsidR="003800EF" w:rsidRPr="00D82AE9">
        <w:t>;</w:t>
      </w:r>
      <w:r w:rsidR="00D27C73" w:rsidRPr="00D82AE9">
        <w:t xml:space="preserve"> </w:t>
      </w:r>
      <w:r w:rsidR="008D2464" w:rsidRPr="00D82AE9">
        <w:t>subsidised Sports and Social</w:t>
      </w:r>
      <w:r w:rsidR="003800EF" w:rsidRPr="00D82AE9">
        <w:t>;</w:t>
      </w:r>
      <w:r w:rsidR="008D2464" w:rsidRPr="00D82AE9">
        <w:t xml:space="preserve"> </w:t>
      </w:r>
      <w:r w:rsidR="009C64E4" w:rsidRPr="00D82AE9">
        <w:t xml:space="preserve">paid </w:t>
      </w:r>
      <w:r w:rsidR="008D042D" w:rsidRPr="00D82AE9">
        <w:t>sick leave</w:t>
      </w:r>
      <w:r w:rsidR="003800EF" w:rsidRPr="00D82AE9">
        <w:t>;</w:t>
      </w:r>
      <w:r w:rsidR="008D042D" w:rsidRPr="00D82AE9">
        <w:t xml:space="preserve"> </w:t>
      </w:r>
      <w:r w:rsidR="0043144D" w:rsidRPr="00D82AE9">
        <w:t xml:space="preserve">paid volunteering; </w:t>
      </w:r>
      <w:r w:rsidR="008D042D" w:rsidRPr="00D82AE9">
        <w:t>pension contributions after one year with the company</w:t>
      </w:r>
      <w:r w:rsidR="003800EF" w:rsidRPr="00D82AE9">
        <w:t>;</w:t>
      </w:r>
      <w:r w:rsidR="008D042D" w:rsidRPr="00D82AE9">
        <w:t xml:space="preserve"> and </w:t>
      </w:r>
      <w:r w:rsidR="006578C1">
        <w:t>paid</w:t>
      </w:r>
      <w:r w:rsidR="008D042D" w:rsidRPr="00D82AE9">
        <w:t xml:space="preserve"> health insurance for salaried employees.</w:t>
      </w:r>
      <w:r w:rsidR="008D2464" w:rsidRPr="00D82AE9">
        <w:t xml:space="preserve"> In addition to this employees benefit from extensive training and development opportunities which ha</w:t>
      </w:r>
      <w:r w:rsidR="009C64E4" w:rsidRPr="00D82AE9">
        <w:t>ve</w:t>
      </w:r>
      <w:r w:rsidR="008D2464" w:rsidRPr="00D82AE9">
        <w:t xml:space="preserve"> enabled </w:t>
      </w:r>
      <w:r w:rsidR="00017DCA" w:rsidRPr="00D82AE9">
        <w:t>43</w:t>
      </w:r>
      <w:r w:rsidR="008D2464" w:rsidRPr="00D82AE9">
        <w:t xml:space="preserve">% of our current store management to progress through the company </w:t>
      </w:r>
      <w:r w:rsidR="00D27C73" w:rsidRPr="00D82AE9">
        <w:t>having</w:t>
      </w:r>
      <w:r w:rsidR="008D2464" w:rsidRPr="00D82AE9">
        <w:t xml:space="preserve"> initially </w:t>
      </w:r>
      <w:r w:rsidR="00D27C73" w:rsidRPr="00D82AE9">
        <w:t xml:space="preserve">started </w:t>
      </w:r>
      <w:r w:rsidR="008D2464" w:rsidRPr="00D82AE9">
        <w:t xml:space="preserve">as </w:t>
      </w:r>
      <w:r w:rsidR="005B62EE">
        <w:t>Customer</w:t>
      </w:r>
      <w:r w:rsidR="008D2464" w:rsidRPr="00D82AE9">
        <w:t xml:space="preserve"> Assistants.</w:t>
      </w:r>
    </w:p>
    <w:p w14:paraId="3BD2E166" w14:textId="58324321" w:rsidR="00CE201E" w:rsidRPr="00D82AE9" w:rsidRDefault="003F2C12" w:rsidP="00556677">
      <w:pPr>
        <w:jc w:val="both"/>
      </w:pPr>
      <w:r w:rsidRPr="00D82AE9">
        <w:t xml:space="preserve">A similar </w:t>
      </w:r>
      <w:r w:rsidR="00BE286B" w:rsidRPr="00D82AE9">
        <w:t>commit</w:t>
      </w:r>
      <w:r w:rsidR="00DF1DE3" w:rsidRPr="00D82AE9">
        <w:t>ment</w:t>
      </w:r>
      <w:r w:rsidR="00297881" w:rsidRPr="00D82AE9">
        <w:t xml:space="preserve"> </w:t>
      </w:r>
      <w:r w:rsidRPr="00D82AE9">
        <w:t xml:space="preserve">is </w:t>
      </w:r>
      <w:r w:rsidR="00BE286B" w:rsidRPr="00D82AE9">
        <w:t xml:space="preserve">being </w:t>
      </w:r>
      <w:r w:rsidR="003800EF" w:rsidRPr="00D82AE9">
        <w:t>announced today</w:t>
      </w:r>
      <w:r w:rsidR="00BE286B" w:rsidRPr="00D82AE9">
        <w:t xml:space="preserve"> to employees in</w:t>
      </w:r>
      <w:r w:rsidRPr="00D82AE9">
        <w:t xml:space="preserve"> Lidl Northern Ireland</w:t>
      </w:r>
      <w:r w:rsidR="00122E4D" w:rsidRPr="00D82AE9">
        <w:t xml:space="preserve"> using the </w:t>
      </w:r>
      <w:r w:rsidR="00D82AE9" w:rsidRPr="00D82AE9">
        <w:t xml:space="preserve">UK </w:t>
      </w:r>
      <w:r w:rsidR="00122E4D" w:rsidRPr="00D82AE9">
        <w:t>Living Wage</w:t>
      </w:r>
      <w:r w:rsidR="00D82AE9" w:rsidRPr="00D82AE9">
        <w:t xml:space="preserve"> Foundation’s recommended rate of </w:t>
      </w:r>
      <w:r w:rsidR="0031255D" w:rsidRPr="0031255D">
        <w:t>£9.00</w:t>
      </w:r>
      <w:r w:rsidR="00327D0F">
        <w:t xml:space="preserve"> per hour</w:t>
      </w:r>
      <w:r w:rsidR="00D82AE9" w:rsidRPr="0031255D">
        <w:t xml:space="preserve">. </w:t>
      </w:r>
      <w:r w:rsidR="00122E4D" w:rsidRPr="0031255D">
        <w:t xml:space="preserve"> </w:t>
      </w:r>
    </w:p>
    <w:p w14:paraId="241DE36B" w14:textId="23629668" w:rsidR="00DB7A59" w:rsidRPr="00D82AE9" w:rsidRDefault="0083338C" w:rsidP="00DB7A59">
      <w:pPr>
        <w:jc w:val="both"/>
        <w:rPr>
          <w:rFonts w:cs="Arial"/>
        </w:rPr>
      </w:pPr>
      <w:r w:rsidRPr="00D82AE9">
        <w:rPr>
          <w:b/>
        </w:rPr>
        <w:t>Announcing Lidl’s</w:t>
      </w:r>
      <w:r w:rsidR="001C189B" w:rsidRPr="00D82AE9">
        <w:rPr>
          <w:b/>
        </w:rPr>
        <w:t xml:space="preserve"> commitment to pay the latest Living Wage</w:t>
      </w:r>
      <w:r w:rsidRPr="00D82AE9">
        <w:rPr>
          <w:b/>
        </w:rPr>
        <w:t>, J</w:t>
      </w:r>
      <w:r w:rsidR="00065FBA" w:rsidRPr="00D82AE9">
        <w:rPr>
          <w:b/>
        </w:rPr>
        <w:t xml:space="preserve">ohn </w:t>
      </w:r>
      <w:r w:rsidRPr="00D82AE9">
        <w:rPr>
          <w:b/>
        </w:rPr>
        <w:t>P</w:t>
      </w:r>
      <w:r w:rsidR="00065FBA" w:rsidRPr="00D82AE9">
        <w:rPr>
          <w:b/>
        </w:rPr>
        <w:t>aul</w:t>
      </w:r>
      <w:r w:rsidRPr="00D82AE9">
        <w:rPr>
          <w:b/>
        </w:rPr>
        <w:t xml:space="preserve"> Scally, Managing Director, Lidl Ireland said:</w:t>
      </w:r>
      <w:r w:rsidRPr="00D82AE9">
        <w:t xml:space="preserve"> </w:t>
      </w:r>
      <w:r w:rsidRPr="00D82AE9">
        <w:rPr>
          <w:i/>
        </w:rPr>
        <w:t>“</w:t>
      </w:r>
      <w:r w:rsidR="00D82AE9" w:rsidRPr="00D82AE9">
        <w:rPr>
          <w:i/>
        </w:rPr>
        <w:t>Lidl is</w:t>
      </w:r>
      <w:r w:rsidR="003F2C12" w:rsidRPr="00D82AE9">
        <w:rPr>
          <w:i/>
        </w:rPr>
        <w:t xml:space="preserve"> </w:t>
      </w:r>
      <w:r w:rsidR="009C64E4" w:rsidRPr="00D82AE9">
        <w:rPr>
          <w:i/>
        </w:rPr>
        <w:t>proud</w:t>
      </w:r>
      <w:r w:rsidR="003F2C12" w:rsidRPr="00D82AE9">
        <w:rPr>
          <w:i/>
        </w:rPr>
        <w:t xml:space="preserve"> to </w:t>
      </w:r>
      <w:r w:rsidR="008A28AC" w:rsidRPr="00D82AE9">
        <w:rPr>
          <w:i/>
        </w:rPr>
        <w:t>champion</w:t>
      </w:r>
      <w:r w:rsidR="003F2C12" w:rsidRPr="00D82AE9">
        <w:rPr>
          <w:i/>
        </w:rPr>
        <w:t xml:space="preserve"> the Living Wage</w:t>
      </w:r>
      <w:r w:rsidR="00BE286B" w:rsidRPr="00D82AE9">
        <w:rPr>
          <w:i/>
        </w:rPr>
        <w:t xml:space="preserve"> in Ireland</w:t>
      </w:r>
      <w:r w:rsidR="006F12FC" w:rsidRPr="00D82AE9">
        <w:rPr>
          <w:i/>
        </w:rPr>
        <w:t>.</w:t>
      </w:r>
      <w:r w:rsidR="00550867" w:rsidRPr="00D82AE9">
        <w:rPr>
          <w:i/>
        </w:rPr>
        <w:t xml:space="preserve"> </w:t>
      </w:r>
      <w:r w:rsidR="0017026D" w:rsidRPr="00D82AE9">
        <w:rPr>
          <w:i/>
        </w:rPr>
        <w:t>Our people are central to our success.  They look after our customers, drive our operations and</w:t>
      </w:r>
      <w:r w:rsidR="00C1710D" w:rsidRPr="00D82AE9">
        <w:rPr>
          <w:i/>
        </w:rPr>
        <w:t xml:space="preserve"> support </w:t>
      </w:r>
      <w:r w:rsidR="00C602B6">
        <w:rPr>
          <w:i/>
        </w:rPr>
        <w:t xml:space="preserve">our </w:t>
      </w:r>
      <w:r w:rsidR="00C1710D" w:rsidRPr="00D82AE9">
        <w:rPr>
          <w:i/>
        </w:rPr>
        <w:t>communities</w:t>
      </w:r>
      <w:r w:rsidR="00914BEE" w:rsidRPr="00D82AE9">
        <w:rPr>
          <w:i/>
        </w:rPr>
        <w:t xml:space="preserve"> </w:t>
      </w:r>
      <w:r w:rsidR="00C602B6">
        <w:rPr>
          <w:i/>
        </w:rPr>
        <w:t>across</w:t>
      </w:r>
      <w:r w:rsidR="00914BEE" w:rsidRPr="00D82AE9">
        <w:rPr>
          <w:i/>
        </w:rPr>
        <w:t xml:space="preserve"> Ireland</w:t>
      </w:r>
      <w:r w:rsidR="0017026D" w:rsidRPr="00D82AE9">
        <w:rPr>
          <w:i/>
        </w:rPr>
        <w:t xml:space="preserve">. </w:t>
      </w:r>
      <w:r w:rsidR="00C1710D" w:rsidRPr="00D82AE9">
        <w:rPr>
          <w:i/>
        </w:rPr>
        <w:t xml:space="preserve"> </w:t>
      </w:r>
      <w:r w:rsidR="0017026D" w:rsidRPr="00D82AE9">
        <w:rPr>
          <w:i/>
        </w:rPr>
        <w:t>I</w:t>
      </w:r>
      <w:r w:rsidR="00082431" w:rsidRPr="00D82AE9">
        <w:rPr>
          <w:i/>
        </w:rPr>
        <w:t xml:space="preserve">t </w:t>
      </w:r>
      <w:r w:rsidR="00550867" w:rsidRPr="00D82AE9">
        <w:rPr>
          <w:i/>
        </w:rPr>
        <w:t>is important</w:t>
      </w:r>
      <w:r w:rsidR="00082431" w:rsidRPr="00D82AE9">
        <w:rPr>
          <w:i/>
        </w:rPr>
        <w:t xml:space="preserve"> for us </w:t>
      </w:r>
      <w:r w:rsidR="00766BC2" w:rsidRPr="00D82AE9">
        <w:rPr>
          <w:i/>
        </w:rPr>
        <w:t>to reward them</w:t>
      </w:r>
      <w:r w:rsidR="00914BEE" w:rsidRPr="00D82AE9">
        <w:rPr>
          <w:i/>
        </w:rPr>
        <w:t xml:space="preserve"> - </w:t>
      </w:r>
      <w:r w:rsidR="00766BC2" w:rsidRPr="00D82AE9">
        <w:rPr>
          <w:i/>
        </w:rPr>
        <w:t xml:space="preserve">not just </w:t>
      </w:r>
      <w:r w:rsidR="00211596" w:rsidRPr="00D82AE9">
        <w:rPr>
          <w:i/>
        </w:rPr>
        <w:t xml:space="preserve">with </w:t>
      </w:r>
      <w:r w:rsidR="00082431" w:rsidRPr="00D82AE9">
        <w:rPr>
          <w:i/>
        </w:rPr>
        <w:t xml:space="preserve">market-leading rates </w:t>
      </w:r>
      <w:r w:rsidR="003800EF" w:rsidRPr="00D82AE9">
        <w:rPr>
          <w:i/>
        </w:rPr>
        <w:t>but also</w:t>
      </w:r>
      <w:r w:rsidR="00276503" w:rsidRPr="00D82AE9">
        <w:rPr>
          <w:i/>
        </w:rPr>
        <w:t xml:space="preserve"> </w:t>
      </w:r>
      <w:r w:rsidR="00211596" w:rsidRPr="00D82AE9">
        <w:rPr>
          <w:i/>
        </w:rPr>
        <w:t>by</w:t>
      </w:r>
      <w:r w:rsidR="00082431" w:rsidRPr="00D82AE9">
        <w:rPr>
          <w:i/>
        </w:rPr>
        <w:t xml:space="preserve"> creat</w:t>
      </w:r>
      <w:r w:rsidR="00211596" w:rsidRPr="00D82AE9">
        <w:rPr>
          <w:i/>
        </w:rPr>
        <w:t>ing</w:t>
      </w:r>
      <w:r w:rsidR="00082431" w:rsidRPr="00D82AE9">
        <w:rPr>
          <w:i/>
        </w:rPr>
        <w:t xml:space="preserve"> an environment where our colleagues</w:t>
      </w:r>
      <w:r w:rsidR="004E2A94" w:rsidRPr="00D82AE9">
        <w:rPr>
          <w:i/>
        </w:rPr>
        <w:t>’</w:t>
      </w:r>
      <w:r w:rsidR="00082431" w:rsidRPr="00D82AE9">
        <w:rPr>
          <w:i/>
        </w:rPr>
        <w:t xml:space="preserve"> </w:t>
      </w:r>
      <w:r w:rsidR="003800EF" w:rsidRPr="00D82AE9">
        <w:rPr>
          <w:i/>
        </w:rPr>
        <w:t>holistic needs</w:t>
      </w:r>
      <w:r w:rsidR="004E2A94" w:rsidRPr="00D82AE9">
        <w:rPr>
          <w:i/>
        </w:rPr>
        <w:t xml:space="preserve"> are</w:t>
      </w:r>
      <w:r w:rsidR="00082431" w:rsidRPr="00D82AE9">
        <w:rPr>
          <w:i/>
        </w:rPr>
        <w:t xml:space="preserve"> </w:t>
      </w:r>
      <w:r w:rsidR="00082431" w:rsidRPr="00D82AE9">
        <w:rPr>
          <w:rFonts w:cs="Arial"/>
          <w:i/>
        </w:rPr>
        <w:t xml:space="preserve">prioritised </w:t>
      </w:r>
      <w:r w:rsidR="004E2A94" w:rsidRPr="00D82AE9">
        <w:rPr>
          <w:rFonts w:cs="Arial"/>
          <w:i/>
        </w:rPr>
        <w:t>including</w:t>
      </w:r>
      <w:r w:rsidR="00082431" w:rsidRPr="00D82AE9">
        <w:rPr>
          <w:rFonts w:cs="Arial"/>
          <w:i/>
        </w:rPr>
        <w:t xml:space="preserve"> their overall sense of wellbeing.</w:t>
      </w:r>
      <w:r w:rsidR="004E2A94" w:rsidRPr="00D82AE9">
        <w:rPr>
          <w:rFonts w:cs="Arial"/>
          <w:i/>
        </w:rPr>
        <w:t xml:space="preserve"> </w:t>
      </w:r>
      <w:r w:rsidR="00082431" w:rsidRPr="00D82AE9">
        <w:rPr>
          <w:rFonts w:cs="Arial"/>
          <w:i/>
        </w:rPr>
        <w:t>As part of our Work Safe</w:t>
      </w:r>
      <w:r w:rsidR="004E2A94" w:rsidRPr="00D82AE9">
        <w:rPr>
          <w:rFonts w:cs="Arial"/>
          <w:i/>
        </w:rPr>
        <w:t>-</w:t>
      </w:r>
      <w:r w:rsidR="00082431" w:rsidRPr="00D82AE9">
        <w:rPr>
          <w:rFonts w:cs="Arial"/>
          <w:i/>
        </w:rPr>
        <w:t xml:space="preserve">Live Well programme we’ve invested in many health and wellbeing initiatives over the past number of years, including the Step Challenge, life-saving Heart and Diabetes screening, Mental Health Awareness campaigns and our confidential Employee Assistance Programme. </w:t>
      </w:r>
      <w:r w:rsidR="000B69DF" w:rsidRPr="00D82AE9">
        <w:rPr>
          <w:rFonts w:cs="Arial"/>
          <w:i/>
        </w:rPr>
        <w:t xml:space="preserve">By continually investing in our team, we continue to retain and attract the best employees and, in turn, continue to serve our </w:t>
      </w:r>
      <w:r w:rsidR="00211596" w:rsidRPr="00D82AE9">
        <w:rPr>
          <w:rFonts w:cs="Arial"/>
          <w:i/>
        </w:rPr>
        <w:t xml:space="preserve">1.5 million plus </w:t>
      </w:r>
      <w:r w:rsidR="00AD4382">
        <w:rPr>
          <w:rFonts w:cs="Arial"/>
          <w:i/>
        </w:rPr>
        <w:t xml:space="preserve">weekly </w:t>
      </w:r>
      <w:r w:rsidR="000B69DF" w:rsidRPr="00D82AE9">
        <w:rPr>
          <w:rFonts w:cs="Arial"/>
          <w:i/>
        </w:rPr>
        <w:t xml:space="preserve">customers </w:t>
      </w:r>
      <w:r w:rsidR="00437B59" w:rsidRPr="00D82AE9">
        <w:rPr>
          <w:rFonts w:cs="Arial"/>
          <w:i/>
        </w:rPr>
        <w:t xml:space="preserve">the </w:t>
      </w:r>
      <w:r w:rsidR="00DB7A59" w:rsidRPr="00D82AE9">
        <w:rPr>
          <w:rFonts w:cs="Arial"/>
          <w:i/>
        </w:rPr>
        <w:t xml:space="preserve">highest quality products cheaper than </w:t>
      </w:r>
      <w:r w:rsidR="00211596" w:rsidRPr="00D82AE9">
        <w:rPr>
          <w:rFonts w:cs="Arial"/>
          <w:i/>
        </w:rPr>
        <w:t xml:space="preserve">any of </w:t>
      </w:r>
      <w:r w:rsidR="00DB7A59" w:rsidRPr="00D82AE9">
        <w:rPr>
          <w:rFonts w:cs="Arial"/>
          <w:i/>
        </w:rPr>
        <w:t>our competitors.”</w:t>
      </w:r>
    </w:p>
    <w:p w14:paraId="29AA3FC9" w14:textId="3C16311B" w:rsidR="00F0628C" w:rsidRPr="00D82AE9" w:rsidRDefault="00F0628C" w:rsidP="00F0628C">
      <w:pPr>
        <w:spacing w:after="0" w:line="240" w:lineRule="auto"/>
        <w:jc w:val="both"/>
      </w:pPr>
      <w:r w:rsidRPr="00D82AE9">
        <w:t xml:space="preserve">Lidl Ireland employs over </w:t>
      </w:r>
      <w:r w:rsidR="00015B17" w:rsidRPr="00D82AE9">
        <w:t>4</w:t>
      </w:r>
      <w:r w:rsidR="00AC5ECA" w:rsidRPr="00D82AE9">
        <w:t>,</w:t>
      </w:r>
      <w:r w:rsidR="00015B17" w:rsidRPr="00D82AE9">
        <w:t>300</w:t>
      </w:r>
      <w:r w:rsidRPr="00D82AE9">
        <w:t xml:space="preserve"> </w:t>
      </w:r>
      <w:r w:rsidR="0031255D">
        <w:t>employees</w:t>
      </w:r>
      <w:r w:rsidRPr="00D82AE9">
        <w:t xml:space="preserve"> </w:t>
      </w:r>
      <w:r w:rsidR="009D11DA" w:rsidRPr="00D82AE9">
        <w:t>in</w:t>
      </w:r>
      <w:r w:rsidRPr="00D82AE9">
        <w:t xml:space="preserve"> its </w:t>
      </w:r>
      <w:r w:rsidR="00015B17" w:rsidRPr="00D82AE9">
        <w:t>158</w:t>
      </w:r>
      <w:r w:rsidRPr="00D82AE9">
        <w:t xml:space="preserve"> stores, </w:t>
      </w:r>
      <w:r w:rsidR="009D11DA" w:rsidRPr="00D82AE9">
        <w:t xml:space="preserve">head office in Tallaght and </w:t>
      </w:r>
      <w:r w:rsidRPr="00D82AE9">
        <w:t>three distribution centres and regional offices based in Charleville, Mullingar</w:t>
      </w:r>
      <w:r w:rsidR="004E2A94" w:rsidRPr="00D82AE9">
        <w:t xml:space="preserve"> and</w:t>
      </w:r>
      <w:r w:rsidRPr="00D82AE9">
        <w:t xml:space="preserve"> </w:t>
      </w:r>
      <w:proofErr w:type="spellStart"/>
      <w:r w:rsidRPr="00D82AE9">
        <w:t>Newbridge</w:t>
      </w:r>
      <w:proofErr w:type="spellEnd"/>
      <w:r w:rsidRPr="00D82AE9">
        <w:t xml:space="preserve">. According to figures released by Kantar </w:t>
      </w:r>
      <w:proofErr w:type="spellStart"/>
      <w:r w:rsidRPr="00D82AE9">
        <w:t>Worldpanel</w:t>
      </w:r>
      <w:proofErr w:type="spellEnd"/>
      <w:r w:rsidR="004E2A94" w:rsidRPr="00D82AE9">
        <w:t>,</w:t>
      </w:r>
      <w:r w:rsidRPr="00D82AE9">
        <w:t xml:space="preserve"> Lidl </w:t>
      </w:r>
      <w:r w:rsidR="009D11DA" w:rsidRPr="00D82AE9">
        <w:t>currently holds 11.7</w:t>
      </w:r>
      <w:r w:rsidRPr="00D82AE9">
        <w:t xml:space="preserve">% </w:t>
      </w:r>
      <w:r w:rsidR="009D11DA" w:rsidRPr="00D82AE9">
        <w:t>of the Irish grocery market</w:t>
      </w:r>
      <w:r w:rsidRPr="00D82AE9">
        <w:t>.</w:t>
      </w:r>
    </w:p>
    <w:p w14:paraId="035DD98A" w14:textId="77777777" w:rsidR="00082431" w:rsidRPr="00D82AE9" w:rsidRDefault="00082431" w:rsidP="00556677">
      <w:pPr>
        <w:jc w:val="both"/>
        <w:rPr>
          <w:b/>
        </w:rPr>
      </w:pPr>
    </w:p>
    <w:p w14:paraId="426F3C9A" w14:textId="77777777" w:rsidR="00D27C73" w:rsidRPr="00D82AE9" w:rsidRDefault="00677400" w:rsidP="00556677">
      <w:pPr>
        <w:jc w:val="both"/>
        <w:rPr>
          <w:b/>
        </w:rPr>
      </w:pPr>
      <w:r w:rsidRPr="00D82AE9">
        <w:rPr>
          <w:b/>
        </w:rPr>
        <w:t>Ends</w:t>
      </w:r>
    </w:p>
    <w:p w14:paraId="4074C5FF" w14:textId="77777777" w:rsidR="00D27C73" w:rsidRPr="00D82AE9" w:rsidRDefault="00D27C73" w:rsidP="00556677">
      <w:pPr>
        <w:jc w:val="both"/>
        <w:rPr>
          <w:b/>
        </w:rPr>
      </w:pPr>
      <w:r w:rsidRPr="00D82AE9">
        <w:rPr>
          <w:b/>
        </w:rPr>
        <w:t>For reference:</w:t>
      </w:r>
    </w:p>
    <w:p w14:paraId="5ADCB09C" w14:textId="77777777" w:rsidR="00D27C73" w:rsidRPr="00D82AE9" w:rsidRDefault="00D27C73" w:rsidP="00556677">
      <w:pPr>
        <w:jc w:val="both"/>
        <w:rPr>
          <w:b/>
        </w:rPr>
      </w:pPr>
      <w:r w:rsidRPr="00D82AE9">
        <w:rPr>
          <w:b/>
        </w:rPr>
        <w:t>The Reputations Agency: (01) 661 8915</w:t>
      </w:r>
      <w:r w:rsidR="00E73CF9" w:rsidRPr="00D82AE9">
        <w:rPr>
          <w:b/>
        </w:rPr>
        <w:t>, Niall Quinn (086) 827 4829</w:t>
      </w:r>
    </w:p>
    <w:p w14:paraId="5F703CDE" w14:textId="77777777" w:rsidR="005A538B" w:rsidRPr="00D82AE9" w:rsidRDefault="005A538B" w:rsidP="00556677">
      <w:pPr>
        <w:jc w:val="both"/>
        <w:rPr>
          <w:b/>
        </w:rPr>
      </w:pPr>
      <w:r w:rsidRPr="00D82AE9">
        <w:rPr>
          <w:b/>
        </w:rPr>
        <w:t xml:space="preserve">Lidl Ireland: </w:t>
      </w:r>
      <w:hyperlink r:id="rId7" w:history="1">
        <w:r w:rsidRPr="00D82AE9">
          <w:rPr>
            <w:rStyle w:val="Hyperlink"/>
            <w:b/>
          </w:rPr>
          <w:t>press@lidl.ie</w:t>
        </w:r>
      </w:hyperlink>
      <w:r w:rsidRPr="00D82AE9">
        <w:rPr>
          <w:b/>
        </w:rPr>
        <w:t xml:space="preserve"> </w:t>
      </w:r>
    </w:p>
    <w:p w14:paraId="7F3F4137" w14:textId="77777777" w:rsidR="00D75F69" w:rsidRDefault="00D75F69" w:rsidP="00556677">
      <w:pPr>
        <w:jc w:val="both"/>
        <w:rPr>
          <w:b/>
        </w:rPr>
      </w:pPr>
    </w:p>
    <w:p w14:paraId="38B5DB8F" w14:textId="77777777" w:rsidR="00D75F69" w:rsidRDefault="00D75F69" w:rsidP="00556677">
      <w:pPr>
        <w:jc w:val="both"/>
        <w:rPr>
          <w:b/>
        </w:rPr>
      </w:pPr>
    </w:p>
    <w:p w14:paraId="33B4CB1A" w14:textId="77777777" w:rsidR="00D75F69" w:rsidRDefault="00D75F69" w:rsidP="00556677">
      <w:pPr>
        <w:jc w:val="both"/>
        <w:rPr>
          <w:b/>
        </w:rPr>
      </w:pPr>
    </w:p>
    <w:p w14:paraId="6FDBF593" w14:textId="77777777" w:rsidR="0084664B" w:rsidRDefault="0084664B" w:rsidP="00556677">
      <w:pPr>
        <w:jc w:val="both"/>
        <w:rPr>
          <w:b/>
        </w:rPr>
      </w:pPr>
      <w:r w:rsidRPr="00D82AE9">
        <w:rPr>
          <w:b/>
        </w:rPr>
        <w:lastRenderedPageBreak/>
        <w:t>Note for editors:</w:t>
      </w:r>
    </w:p>
    <w:p w14:paraId="6468FBF1" w14:textId="77777777" w:rsidR="0083338C" w:rsidRPr="00D82AE9" w:rsidRDefault="0083338C" w:rsidP="00556677">
      <w:pPr>
        <w:jc w:val="both"/>
        <w:rPr>
          <w:b/>
          <w:u w:val="single"/>
        </w:rPr>
      </w:pPr>
      <w:r w:rsidRPr="00D82AE9">
        <w:rPr>
          <w:b/>
          <w:u w:val="single"/>
        </w:rPr>
        <w:t>Living Wage</w:t>
      </w:r>
    </w:p>
    <w:p w14:paraId="5FE653BC" w14:textId="5658F36C" w:rsidR="00AD4382" w:rsidRDefault="000A3BD2" w:rsidP="00AD4382">
      <w:pPr>
        <w:jc w:val="both"/>
        <w:rPr>
          <w:rFonts w:eastAsia="Times New Roman" w:cs="Helvetica"/>
          <w:lang w:val="en-GB" w:eastAsia="en-IE"/>
        </w:rPr>
      </w:pPr>
      <w:r>
        <w:rPr>
          <w:rFonts w:eastAsia="Times New Roman" w:cs="Helvetica"/>
          <w:lang w:val="en-GB" w:eastAsia="en-IE"/>
        </w:rPr>
        <w:t>The Living Wage is a</w:t>
      </w:r>
      <w:r w:rsidR="0083338C" w:rsidRPr="00D82AE9">
        <w:rPr>
          <w:rFonts w:eastAsia="Times New Roman" w:cs="Helvetica"/>
          <w:lang w:val="en-GB" w:eastAsia="en-IE"/>
        </w:rPr>
        <w:t xml:space="preserve"> wage which makes possible a minimum acceptable standard of living. </w:t>
      </w:r>
      <w:r w:rsidR="00435011" w:rsidRPr="00D82AE9">
        <w:rPr>
          <w:rFonts w:eastAsia="Times New Roman" w:cs="Helvetica"/>
          <w:lang w:val="en-GB" w:eastAsia="en-IE"/>
        </w:rPr>
        <w:t xml:space="preserve">In principle, a living wage is intended to establish an hourly wage rate that should provide employees with sufficient income to achieve an agreed </w:t>
      </w:r>
      <w:r w:rsidR="00AD4382" w:rsidRPr="00EE7286">
        <w:rPr>
          <w:lang w:val="en-GB"/>
        </w:rPr>
        <w:t xml:space="preserve">socially acceptable standard of living. </w:t>
      </w:r>
      <w:r w:rsidR="00AD4382">
        <w:rPr>
          <w:rFonts w:cs="Arial"/>
        </w:rPr>
        <w:t xml:space="preserve">The calculation takes clothing, food, housing, health, education, transportation, and social/ recreational costs into consideration. </w:t>
      </w:r>
    </w:p>
    <w:p w14:paraId="4D823C62" w14:textId="28172661" w:rsidR="00435011" w:rsidRDefault="00435011" w:rsidP="000A3BD2">
      <w:pPr>
        <w:rPr>
          <w:rFonts w:eastAsia="Times New Roman" w:cs="Helvetica"/>
          <w:lang w:val="en-GB" w:eastAsia="en-IE"/>
        </w:rPr>
      </w:pPr>
      <w:r>
        <w:rPr>
          <w:rFonts w:eastAsia="Times New Roman" w:cs="Helvetica"/>
          <w:lang w:val="en-GB" w:eastAsia="en-IE"/>
        </w:rPr>
        <w:t>The  new  2018  figure  of €11.90</w:t>
      </w:r>
      <w:r w:rsidRPr="00435011">
        <w:rPr>
          <w:rFonts w:eastAsia="Times New Roman" w:cs="Helvetica"/>
          <w:lang w:val="en-GB" w:eastAsia="en-IE"/>
        </w:rPr>
        <w:t xml:space="preserve"> represents  an  increase  of  20c  per</w:t>
      </w:r>
      <w:r w:rsidR="000A3BD2">
        <w:rPr>
          <w:rFonts w:eastAsia="Times New Roman" w:cs="Helvetica"/>
          <w:lang w:val="en-GB" w:eastAsia="en-IE"/>
        </w:rPr>
        <w:t xml:space="preserve">  hour  over  the  2017  rate  of €11.70.  The  increase </w:t>
      </w:r>
      <w:r w:rsidRPr="00435011">
        <w:rPr>
          <w:rFonts w:eastAsia="Times New Roman" w:cs="Helvetica"/>
          <w:lang w:val="en-GB" w:eastAsia="en-IE"/>
        </w:rPr>
        <w:t>has been  driven  by changes in  the  cost  of living and changes in the taxation system</w:t>
      </w:r>
      <w:r>
        <w:rPr>
          <w:rFonts w:eastAsia="Times New Roman" w:cs="Helvetica"/>
          <w:lang w:val="en-GB" w:eastAsia="en-IE"/>
        </w:rPr>
        <w:t xml:space="preserve">. </w:t>
      </w:r>
      <w:r w:rsidRPr="00435011">
        <w:rPr>
          <w:rFonts w:eastAsia="Times New Roman" w:cs="Helvetica"/>
          <w:lang w:val="en-GB" w:eastAsia="en-IE"/>
        </w:rPr>
        <w:t>The  current  housing  crisis,  and  associated  increases  in rent levels, continues to be the main driver of  the wage rate increasing for 2018.</w:t>
      </w:r>
      <w:r>
        <w:rPr>
          <w:rFonts w:eastAsia="Times New Roman" w:cs="Helvetica"/>
          <w:lang w:val="en-GB" w:eastAsia="en-IE"/>
        </w:rPr>
        <w:t xml:space="preserve"> </w:t>
      </w:r>
    </w:p>
    <w:p w14:paraId="6553E5AD" w14:textId="30946676" w:rsidR="0083338C" w:rsidRPr="000A3BD2" w:rsidRDefault="0083338C" w:rsidP="00556677">
      <w:pPr>
        <w:jc w:val="both"/>
        <w:rPr>
          <w:rFonts w:eastAsia="Times New Roman" w:cs="Helvetica"/>
          <w:lang w:val="en-GB" w:eastAsia="en-IE"/>
        </w:rPr>
      </w:pPr>
      <w:r w:rsidRPr="000A3BD2">
        <w:rPr>
          <w:rFonts w:eastAsia="Times New Roman" w:cs="Helvetica"/>
          <w:lang w:val="en-GB" w:eastAsia="en-IE"/>
        </w:rPr>
        <w:t xml:space="preserve">Source: The Living Wage </w:t>
      </w:r>
      <w:r w:rsidR="005A538B" w:rsidRPr="000A3BD2">
        <w:rPr>
          <w:rFonts w:eastAsia="Times New Roman" w:cs="Helvetica"/>
          <w:lang w:val="en-GB" w:eastAsia="en-IE"/>
        </w:rPr>
        <w:t>Technical</w:t>
      </w:r>
      <w:r w:rsidRPr="000A3BD2">
        <w:rPr>
          <w:rFonts w:eastAsia="Times New Roman" w:cs="Helvetica"/>
          <w:lang w:val="en-GB" w:eastAsia="en-IE"/>
        </w:rPr>
        <w:t xml:space="preserve"> Group</w:t>
      </w:r>
      <w:r w:rsidR="00432FB4" w:rsidRPr="000A3BD2">
        <w:rPr>
          <w:rFonts w:eastAsia="Times New Roman" w:cs="Helvetica"/>
          <w:lang w:val="en-GB" w:eastAsia="en-IE"/>
        </w:rPr>
        <w:t xml:space="preserve"> </w:t>
      </w:r>
      <w:hyperlink r:id="rId8" w:history="1">
        <w:r w:rsidR="00432FB4" w:rsidRPr="000A3BD2">
          <w:rPr>
            <w:rStyle w:val="Hyperlink"/>
            <w:rFonts w:eastAsia="Times New Roman" w:cs="Helvetica"/>
            <w:lang w:val="en-GB" w:eastAsia="en-IE"/>
          </w:rPr>
          <w:t>https://www.livingwage.ie/</w:t>
        </w:r>
      </w:hyperlink>
      <w:r w:rsidR="00432FB4" w:rsidRPr="000A3BD2">
        <w:rPr>
          <w:rFonts w:eastAsia="Times New Roman" w:cs="Helvetica"/>
          <w:lang w:val="en-GB" w:eastAsia="en-IE"/>
        </w:rPr>
        <w:t xml:space="preserve"> </w:t>
      </w:r>
    </w:p>
    <w:p w14:paraId="18A9F1E6" w14:textId="77777777" w:rsidR="005A538B" w:rsidRPr="00310362" w:rsidRDefault="005A538B" w:rsidP="00556677">
      <w:pPr>
        <w:rPr>
          <w:rFonts w:eastAsia="Times New Roman" w:cs="Helvetica"/>
          <w:b/>
          <w:lang w:val="en-GB" w:eastAsia="en-IE"/>
        </w:rPr>
      </w:pPr>
      <w:r w:rsidRPr="00310362">
        <w:rPr>
          <w:rFonts w:eastAsia="Times New Roman" w:cs="Helvetica"/>
          <w:b/>
          <w:lang w:val="en-GB" w:eastAsia="en-IE"/>
        </w:rPr>
        <w:t>About Lidl Ireland</w:t>
      </w:r>
    </w:p>
    <w:p w14:paraId="27337E3D" w14:textId="3AC216C2" w:rsidR="00547692" w:rsidRPr="001262ED" w:rsidRDefault="00547692" w:rsidP="00310362">
      <w:pPr>
        <w:spacing w:after="0" w:line="240" w:lineRule="auto"/>
        <w:jc w:val="both"/>
        <w:rPr>
          <w:rFonts w:cstheme="minorHAnsi"/>
        </w:rPr>
      </w:pPr>
      <w:r w:rsidRPr="00D82AE9">
        <w:t xml:space="preserve">Lidl Ireland employs over 4,300 staff in its 158 stores, head office in Tallaght and three distribution centres and regional offices based in Charleville, Mullingar and </w:t>
      </w:r>
      <w:proofErr w:type="spellStart"/>
      <w:r w:rsidRPr="00D82AE9">
        <w:t>Newbridge</w:t>
      </w:r>
      <w:proofErr w:type="spellEnd"/>
      <w:r w:rsidRPr="00D82AE9">
        <w:t xml:space="preserve">. </w:t>
      </w:r>
      <w:r w:rsidRPr="001262ED">
        <w:rPr>
          <w:rFonts w:cstheme="minorHAnsi"/>
        </w:rPr>
        <w:t>Lidl is committed to working with its growing num</w:t>
      </w:r>
      <w:r w:rsidR="000A3BD2">
        <w:rPr>
          <w:rFonts w:cstheme="minorHAnsi"/>
        </w:rPr>
        <w:t>ber of over 200 Irish suppliers, investing</w:t>
      </w:r>
      <w:r w:rsidRPr="001262ED">
        <w:rPr>
          <w:rFonts w:cstheme="minorHAnsi"/>
        </w:rPr>
        <w:t xml:space="preserve"> €</w:t>
      </w:r>
      <w:r>
        <w:rPr>
          <w:rFonts w:cstheme="minorHAnsi"/>
        </w:rPr>
        <w:t>700</w:t>
      </w:r>
      <w:r w:rsidRPr="001262ED">
        <w:rPr>
          <w:rFonts w:cstheme="minorHAnsi"/>
        </w:rPr>
        <w:t xml:space="preserve"> million per annum in sourcing Irish goods and services.</w:t>
      </w:r>
    </w:p>
    <w:p w14:paraId="39974B59" w14:textId="77777777" w:rsidR="005715FF" w:rsidRPr="00D82AE9" w:rsidRDefault="005715FF" w:rsidP="005A538B">
      <w:pPr>
        <w:spacing w:after="0" w:line="240" w:lineRule="auto"/>
        <w:jc w:val="both"/>
        <w:rPr>
          <w:rFonts w:eastAsia="Times New Roman" w:cs="Times New Roman"/>
          <w:color w:val="000000"/>
          <w:lang w:val="en-US"/>
        </w:rPr>
      </w:pPr>
    </w:p>
    <w:p w14:paraId="2C53EDAB" w14:textId="3F2A07B4" w:rsidR="005715FF" w:rsidRPr="00CC363A" w:rsidRDefault="005715FF" w:rsidP="005715FF">
      <w:pPr>
        <w:spacing w:line="276" w:lineRule="auto"/>
        <w:jc w:val="both"/>
        <w:rPr>
          <w:rFonts w:eastAsia="Calibri" w:cs="Arial"/>
        </w:rPr>
      </w:pPr>
      <w:r w:rsidRPr="00CC363A">
        <w:rPr>
          <w:rFonts w:eastAsia="Helv" w:cs="Arial"/>
        </w:rPr>
        <w:t xml:space="preserve">In 2018,  Lidl was awarded the coveted ‘Outstanding Achievement in Corporate Social Responsibility’ at </w:t>
      </w:r>
      <w:r>
        <w:rPr>
          <w:rFonts w:eastAsia="Helv" w:cs="Arial"/>
        </w:rPr>
        <w:t>the Chambers Ireland CSR Awards, a key pillar of Lidl’s CSR strategy is its</w:t>
      </w:r>
      <w:r w:rsidR="0031255D">
        <w:rPr>
          <w:rFonts w:eastAsia="Helv" w:cs="Arial"/>
        </w:rPr>
        <w:t xml:space="preserve"> employee wellbeing programme called</w:t>
      </w:r>
      <w:r>
        <w:rPr>
          <w:rFonts w:eastAsia="Helv" w:cs="Arial"/>
        </w:rPr>
        <w:t xml:space="preserve"> </w:t>
      </w:r>
      <w:r w:rsidR="0031255D">
        <w:rPr>
          <w:rFonts w:cs="Arial"/>
        </w:rPr>
        <w:t>Work Safe-Live Well.</w:t>
      </w:r>
      <w:r w:rsidR="00310362">
        <w:rPr>
          <w:rFonts w:eastAsia="Helv" w:cs="Arial"/>
          <w:bCs/>
        </w:rPr>
        <w:t xml:space="preserve"> </w:t>
      </w:r>
    </w:p>
    <w:p w14:paraId="202FCE19" w14:textId="77777777" w:rsidR="005A538B" w:rsidRPr="005715FF" w:rsidRDefault="005A538B" w:rsidP="00556677"/>
    <w:sectPr w:rsidR="005A538B" w:rsidRPr="005715F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B4997" w14:textId="77777777" w:rsidR="00041009" w:rsidRDefault="00041009" w:rsidP="00894A50">
      <w:pPr>
        <w:spacing w:after="0" w:line="240" w:lineRule="auto"/>
      </w:pPr>
      <w:r>
        <w:separator/>
      </w:r>
    </w:p>
  </w:endnote>
  <w:endnote w:type="continuationSeparator" w:id="0">
    <w:p w14:paraId="7AC6405F" w14:textId="77777777" w:rsidR="00041009" w:rsidRDefault="00041009" w:rsidP="00894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9CD56" w14:textId="77777777" w:rsidR="00041009" w:rsidRDefault="00041009" w:rsidP="00894A50">
      <w:pPr>
        <w:spacing w:after="0" w:line="240" w:lineRule="auto"/>
      </w:pPr>
      <w:r>
        <w:separator/>
      </w:r>
    </w:p>
  </w:footnote>
  <w:footnote w:type="continuationSeparator" w:id="0">
    <w:p w14:paraId="00A947A7" w14:textId="77777777" w:rsidR="00041009" w:rsidRDefault="00041009" w:rsidP="00894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3AF8D" w14:textId="77777777" w:rsidR="00A44380" w:rsidRDefault="00A44380" w:rsidP="00894A50">
    <w:pPr>
      <w:pStyle w:val="Header"/>
      <w:jc w:val="right"/>
    </w:pPr>
  </w:p>
  <w:p w14:paraId="1AB26D2C" w14:textId="77777777" w:rsidR="00A44380" w:rsidRDefault="00A443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B3B2E"/>
    <w:multiLevelType w:val="multilevel"/>
    <w:tmpl w:val="3C307750"/>
    <w:lvl w:ilvl="0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190"/>
        </w:tabs>
        <w:ind w:left="819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EE2927"/>
    <w:multiLevelType w:val="hybridMultilevel"/>
    <w:tmpl w:val="E5EE951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D6276"/>
    <w:multiLevelType w:val="hybridMultilevel"/>
    <w:tmpl w:val="3E665E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096723"/>
    <w:multiLevelType w:val="hybridMultilevel"/>
    <w:tmpl w:val="CAE09698"/>
    <w:lvl w:ilvl="0" w:tplc="180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A9A4063"/>
    <w:multiLevelType w:val="hybridMultilevel"/>
    <w:tmpl w:val="CA6E9C5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45"/>
    <w:rsid w:val="00015B17"/>
    <w:rsid w:val="00017DCA"/>
    <w:rsid w:val="00041009"/>
    <w:rsid w:val="000453F0"/>
    <w:rsid w:val="000547F3"/>
    <w:rsid w:val="00065FBA"/>
    <w:rsid w:val="00082431"/>
    <w:rsid w:val="000A3BD2"/>
    <w:rsid w:val="000B69DF"/>
    <w:rsid w:val="000B7031"/>
    <w:rsid w:val="000E6798"/>
    <w:rsid w:val="00121E1E"/>
    <w:rsid w:val="00122E4D"/>
    <w:rsid w:val="0017026D"/>
    <w:rsid w:val="001A4DBA"/>
    <w:rsid w:val="001C189B"/>
    <w:rsid w:val="001F40A9"/>
    <w:rsid w:val="00211596"/>
    <w:rsid w:val="00217D12"/>
    <w:rsid w:val="002310DF"/>
    <w:rsid w:val="00276503"/>
    <w:rsid w:val="00282179"/>
    <w:rsid w:val="00290F10"/>
    <w:rsid w:val="00297881"/>
    <w:rsid w:val="002A16D7"/>
    <w:rsid w:val="002A1C61"/>
    <w:rsid w:val="002D6A19"/>
    <w:rsid w:val="002E44B8"/>
    <w:rsid w:val="00310362"/>
    <w:rsid w:val="0031255D"/>
    <w:rsid w:val="00316583"/>
    <w:rsid w:val="0031751F"/>
    <w:rsid w:val="00317544"/>
    <w:rsid w:val="00327D0F"/>
    <w:rsid w:val="003800EF"/>
    <w:rsid w:val="003937D9"/>
    <w:rsid w:val="003C5AB3"/>
    <w:rsid w:val="003E57F6"/>
    <w:rsid w:val="003F2C12"/>
    <w:rsid w:val="0043144D"/>
    <w:rsid w:val="00432FB4"/>
    <w:rsid w:val="00435011"/>
    <w:rsid w:val="00436798"/>
    <w:rsid w:val="00437B59"/>
    <w:rsid w:val="00446A85"/>
    <w:rsid w:val="0045518C"/>
    <w:rsid w:val="00494082"/>
    <w:rsid w:val="004A2101"/>
    <w:rsid w:val="004A796F"/>
    <w:rsid w:val="004B29FF"/>
    <w:rsid w:val="004C1505"/>
    <w:rsid w:val="004D4BB3"/>
    <w:rsid w:val="004E2A94"/>
    <w:rsid w:val="005061DA"/>
    <w:rsid w:val="00507C81"/>
    <w:rsid w:val="0054168A"/>
    <w:rsid w:val="00547692"/>
    <w:rsid w:val="00550867"/>
    <w:rsid w:val="00556677"/>
    <w:rsid w:val="00563530"/>
    <w:rsid w:val="005715FF"/>
    <w:rsid w:val="005733AF"/>
    <w:rsid w:val="00586397"/>
    <w:rsid w:val="005A538B"/>
    <w:rsid w:val="005B3BC0"/>
    <w:rsid w:val="005B62EE"/>
    <w:rsid w:val="005C3742"/>
    <w:rsid w:val="005C67F6"/>
    <w:rsid w:val="006060C2"/>
    <w:rsid w:val="00630C5E"/>
    <w:rsid w:val="006578C1"/>
    <w:rsid w:val="00677400"/>
    <w:rsid w:val="006A1115"/>
    <w:rsid w:val="006B34C1"/>
    <w:rsid w:val="006C0F61"/>
    <w:rsid w:val="006F12FC"/>
    <w:rsid w:val="006F3120"/>
    <w:rsid w:val="007011D5"/>
    <w:rsid w:val="00710145"/>
    <w:rsid w:val="00710663"/>
    <w:rsid w:val="00723B29"/>
    <w:rsid w:val="00727FB3"/>
    <w:rsid w:val="007450FE"/>
    <w:rsid w:val="0076356C"/>
    <w:rsid w:val="00766BC2"/>
    <w:rsid w:val="00787C66"/>
    <w:rsid w:val="007E7EC3"/>
    <w:rsid w:val="0083338C"/>
    <w:rsid w:val="0084664B"/>
    <w:rsid w:val="00894A50"/>
    <w:rsid w:val="008A28AC"/>
    <w:rsid w:val="008A2C8B"/>
    <w:rsid w:val="008D042D"/>
    <w:rsid w:val="008D2464"/>
    <w:rsid w:val="008E63A6"/>
    <w:rsid w:val="008F7101"/>
    <w:rsid w:val="00914BEE"/>
    <w:rsid w:val="009249C9"/>
    <w:rsid w:val="0093624F"/>
    <w:rsid w:val="009600E1"/>
    <w:rsid w:val="00963AD8"/>
    <w:rsid w:val="00992A9B"/>
    <w:rsid w:val="009A74BA"/>
    <w:rsid w:val="009C64E4"/>
    <w:rsid w:val="009D0936"/>
    <w:rsid w:val="009D11DA"/>
    <w:rsid w:val="009E00B1"/>
    <w:rsid w:val="009E327C"/>
    <w:rsid w:val="009E3C42"/>
    <w:rsid w:val="00A11613"/>
    <w:rsid w:val="00A321A2"/>
    <w:rsid w:val="00A44380"/>
    <w:rsid w:val="00A66878"/>
    <w:rsid w:val="00AC5ECA"/>
    <w:rsid w:val="00AD0800"/>
    <w:rsid w:val="00AD4382"/>
    <w:rsid w:val="00AE5575"/>
    <w:rsid w:val="00AE7B9D"/>
    <w:rsid w:val="00AF7373"/>
    <w:rsid w:val="00B0025F"/>
    <w:rsid w:val="00B11430"/>
    <w:rsid w:val="00B253F0"/>
    <w:rsid w:val="00B66856"/>
    <w:rsid w:val="00B9304C"/>
    <w:rsid w:val="00BD40D9"/>
    <w:rsid w:val="00BE0790"/>
    <w:rsid w:val="00BE286B"/>
    <w:rsid w:val="00C06434"/>
    <w:rsid w:val="00C1710D"/>
    <w:rsid w:val="00C602B6"/>
    <w:rsid w:val="00C81B35"/>
    <w:rsid w:val="00CA3A49"/>
    <w:rsid w:val="00CD1FB1"/>
    <w:rsid w:val="00CE201E"/>
    <w:rsid w:val="00D27C73"/>
    <w:rsid w:val="00D75F69"/>
    <w:rsid w:val="00D77EA2"/>
    <w:rsid w:val="00D82AE9"/>
    <w:rsid w:val="00D82B70"/>
    <w:rsid w:val="00D84FFA"/>
    <w:rsid w:val="00DA0950"/>
    <w:rsid w:val="00DB7A59"/>
    <w:rsid w:val="00DD6700"/>
    <w:rsid w:val="00DE3865"/>
    <w:rsid w:val="00DF1DE3"/>
    <w:rsid w:val="00E114CD"/>
    <w:rsid w:val="00E54FE1"/>
    <w:rsid w:val="00E6207B"/>
    <w:rsid w:val="00E73CF9"/>
    <w:rsid w:val="00E83282"/>
    <w:rsid w:val="00E9317F"/>
    <w:rsid w:val="00EA420A"/>
    <w:rsid w:val="00EB2350"/>
    <w:rsid w:val="00EE37BD"/>
    <w:rsid w:val="00EF12A2"/>
    <w:rsid w:val="00EF22FE"/>
    <w:rsid w:val="00F0628C"/>
    <w:rsid w:val="00F07A93"/>
    <w:rsid w:val="00F25F9D"/>
    <w:rsid w:val="00F4001D"/>
    <w:rsid w:val="00F62688"/>
    <w:rsid w:val="00F705AB"/>
    <w:rsid w:val="00F8112C"/>
    <w:rsid w:val="00FB7EE8"/>
    <w:rsid w:val="00FC252D"/>
    <w:rsid w:val="00FC74AF"/>
    <w:rsid w:val="00FD17FE"/>
    <w:rsid w:val="00FF322D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F7166C6"/>
  <w15:chartTrackingRefBased/>
  <w15:docId w15:val="{1D9C92D8-2658-4EDF-8C7C-67661BC8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C8B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EF22FE"/>
    <w:pPr>
      <w:spacing w:after="0" w:line="240" w:lineRule="auto"/>
    </w:pPr>
    <w:rPr>
      <w:rFonts w:ascii="Calibri" w:eastAsia="Times New Roman" w:hAnsi="Calibri" w:cs="Times New Roman"/>
      <w:szCs w:val="21"/>
      <w:lang w:eastAsia="en-IE"/>
    </w:rPr>
  </w:style>
  <w:style w:type="character" w:customStyle="1" w:styleId="PlainTextChar">
    <w:name w:val="Plain Text Char"/>
    <w:basedOn w:val="DefaultParagraphFont"/>
    <w:link w:val="PlainText"/>
    <w:uiPriority w:val="99"/>
    <w:rsid w:val="00EF22FE"/>
    <w:rPr>
      <w:rFonts w:ascii="Calibri" w:eastAsia="Times New Roman" w:hAnsi="Calibri" w:cs="Times New Roman"/>
      <w:szCs w:val="21"/>
      <w:lang w:eastAsia="en-IE"/>
    </w:rPr>
  </w:style>
  <w:style w:type="paragraph" w:styleId="NormalWeb">
    <w:name w:val="Normal (Web)"/>
    <w:basedOn w:val="Normal"/>
    <w:uiPriority w:val="99"/>
    <w:unhideWhenUsed/>
    <w:rsid w:val="00EF2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Header">
    <w:name w:val="header"/>
    <w:basedOn w:val="Normal"/>
    <w:link w:val="HeaderChar"/>
    <w:uiPriority w:val="99"/>
    <w:unhideWhenUsed/>
    <w:rsid w:val="00894A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A50"/>
  </w:style>
  <w:style w:type="paragraph" w:styleId="Footer">
    <w:name w:val="footer"/>
    <w:basedOn w:val="Normal"/>
    <w:link w:val="FooterChar"/>
    <w:uiPriority w:val="99"/>
    <w:unhideWhenUsed/>
    <w:rsid w:val="00894A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A50"/>
  </w:style>
  <w:style w:type="paragraph" w:styleId="NoSpacing">
    <w:name w:val="No Spacing"/>
    <w:basedOn w:val="Normal"/>
    <w:uiPriority w:val="1"/>
    <w:qFormat/>
    <w:rsid w:val="005A538B"/>
    <w:pPr>
      <w:spacing w:after="0" w:line="240" w:lineRule="auto"/>
    </w:pPr>
    <w:rPr>
      <w:rFonts w:ascii="Calibri" w:eastAsia="Times New Roman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5A538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C37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7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7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7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7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3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29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0862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03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35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1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5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0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0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34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0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2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7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1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3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vingwage.i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lidl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Niall Quinn</dc:creator>
  <cp:keywords/>
  <dc:description/>
  <cp:lastModifiedBy>Ryan, Deirdre</cp:lastModifiedBy>
  <cp:revision>2</cp:revision>
  <cp:lastPrinted>2018-11-05T09:21:00Z</cp:lastPrinted>
  <dcterms:created xsi:type="dcterms:W3CDTF">2018-11-05T14:34:00Z</dcterms:created>
  <dcterms:modified xsi:type="dcterms:W3CDTF">2018-11-05T14:34:00Z</dcterms:modified>
</cp:coreProperties>
</file>